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pStyle w:val="2"/>
        <w:spacing w:line="240" w:lineRule="exact"/>
        <w:ind w:firstLine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firstLine="720" w:firstLineChars="200"/>
        <w:jc w:val="left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广东省高等教育学会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“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十四五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”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规划202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年度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高等教育研究课题指南</w:t>
      </w:r>
    </w:p>
    <w:p>
      <w:pPr>
        <w:spacing w:line="240" w:lineRule="exact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</w:p>
    <w:p>
      <w:pPr>
        <w:spacing w:line="240" w:lineRule="exact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党的二十大教育部署解读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中国式高等教育现代化研究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（二）深化高等教育领域综合改革研究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</w:t>
      </w:r>
      <w:bookmarkStart w:id="0" w:name="_GoBack"/>
      <w:bookmarkEnd w:id="0"/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）加强基础学科、新兴学科、交叉学科建设路径研究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（四）基础学科拔尖创新人才培养模式研究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（五）全面提高人才自主培养质量研究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（六）统筹职业教育、高等教育、继续教育协同创新研究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（七）推进职普融通、产教融合、科教融汇的实践策略研究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（八）优化职业教育类型定位研究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（九）加快建设中国特色、世界一流的大学和优势学科策略研究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（十）优化国家科研机构、高水平研究型大学、科技领军企业定位和布局研究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（十一）加快建设世界重要人才中心、创新高地与促进人才区域合理布局、协调发展研究</w:t>
      </w:r>
    </w:p>
    <w:p>
      <w:pPr>
        <w:pStyle w:val="2"/>
        <w:numPr>
          <w:ilvl w:val="-1"/>
          <w:numId w:val="0"/>
        </w:num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高等教育高质量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十二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普及化时代高等教育分类发展研究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（十三）广东高等教育高质量发展标准研究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（十四）广东高水平大学群体建设路径研究</w:t>
      </w:r>
    </w:p>
    <w:p>
      <w:pPr>
        <w:pStyle w:val="2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（十五）新型高水平理工科大学建设的理论与实践研究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（十六）高水平师范大学建设</w:t>
      </w:r>
      <w:r>
        <w:rPr>
          <w:rFonts w:hint="eastAsia" w:ascii="仿宋_GB2312" w:hAnsi="黑体" w:eastAsia="仿宋_GB2312"/>
          <w:sz w:val="32"/>
          <w:szCs w:val="32"/>
        </w:rPr>
        <w:t>路径研究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（十七）新工科、新医科、新农科、新文科、新师范建设的广东模式研究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广东本科专业建设质量提升路径研究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（十九）广东本科高校教学质量监测体系建设研究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（二十）广东研究生教育高质量发展路径研究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（二十一）广东新工科助力制造业当家建设路径研究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（二十二）高水平科技自立自强与广东高校基础研究、应用基础研究优势发挥研究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（二十三）高等教育规划教材建设研究</w:t>
      </w:r>
    </w:p>
    <w:p>
      <w:pPr>
        <w:spacing w:line="560" w:lineRule="exact"/>
        <w:ind w:firstLine="640" w:firstLineChars="200"/>
        <w:rPr>
          <w:rFonts w:hint="eastAsia" w:ascii="仿宋_GB2312" w:eastAsia="黑体" w:hAnsiTheme="minorHAnsi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职业教育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高质量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（二十四）广东高等职业教育高质量发展策略研究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二十五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高等职业教育专业设置管理与预警机制研究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（二十六）高等</w:t>
      </w:r>
      <w:r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val="en-US" w:eastAsia="zh-CN" w:bidi="ar"/>
        </w:rPr>
        <w:t>职</w:t>
      </w:r>
      <w:r>
        <w:rPr>
          <w:rFonts w:hint="eastAsia" w:ascii="仿宋_GB2312" w:eastAsia="仿宋_GB2312"/>
          <w:sz w:val="32"/>
          <w:szCs w:val="32"/>
          <w:lang w:bidi="ar"/>
        </w:rPr>
        <w:t>业教育招生模式改革研究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二十七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/>
          <w:sz w:val="32"/>
          <w:szCs w:val="32"/>
          <w:lang w:bidi="ar"/>
        </w:rPr>
        <w:t>职业学校教师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专业发展</w:t>
      </w:r>
      <w:r>
        <w:rPr>
          <w:rFonts w:hint="eastAsia" w:ascii="仿宋_GB2312" w:eastAsia="仿宋_GB2312"/>
          <w:sz w:val="32"/>
          <w:szCs w:val="32"/>
          <w:lang w:bidi="ar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二十八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bidi="ar"/>
        </w:rPr>
        <w:t>职业教育服务乡村振兴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 w:bidi="ar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二十九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职业本科教育改革发展研究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职业教育制度执行监管机制研究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三十一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地方政府职业教育绩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效</w:t>
      </w:r>
      <w:r>
        <w:rPr>
          <w:rFonts w:hint="eastAsia" w:ascii="仿宋_GB2312" w:eastAsia="仿宋_GB2312"/>
          <w:sz w:val="32"/>
          <w:szCs w:val="32"/>
          <w:lang w:bidi="ar"/>
        </w:rPr>
        <w:t>评价指标体系研究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三十二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职普</w:t>
      </w:r>
      <w:r>
        <w:rPr>
          <w:rFonts w:hint="eastAsia" w:ascii="仿宋_GB2312" w:eastAsia="仿宋_GB2312"/>
          <w:sz w:val="32"/>
          <w:szCs w:val="32"/>
          <w:lang w:bidi="ar"/>
        </w:rPr>
        <w:t>有机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融通</w:t>
      </w:r>
      <w:r>
        <w:rPr>
          <w:rFonts w:hint="eastAsia" w:ascii="仿宋_GB2312" w:eastAsia="仿宋_GB2312"/>
          <w:sz w:val="32"/>
          <w:szCs w:val="32"/>
          <w:lang w:bidi="ar"/>
        </w:rPr>
        <w:t>的机制研究</w:t>
      </w:r>
    </w:p>
    <w:p>
      <w:pPr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三十三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职业教育规划教材建设研究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bCs w:val="0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四、高等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bidi="ar"/>
        </w:rPr>
        <w:t>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数字化研究专项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（三十四）推进高等教育数字化策略研究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（三十五）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内涵与实现路径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（三十六）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高等教育数字化课程资源开发研究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三十七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</w:rPr>
        <w:t>惠及全民的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支撑体系应用示范研究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三十八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基于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的</w:t>
      </w:r>
      <w:r>
        <w:rPr>
          <w:rFonts w:hint="default" w:ascii="仿宋_GB2312" w:eastAsia="仿宋_GB2312" w:hAnsiTheme="minorHAnsi" w:cstheme="minorBidi"/>
          <w:sz w:val="32"/>
          <w:szCs w:val="32"/>
        </w:rPr>
        <w:t>区域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</w:t>
      </w:r>
      <w:r>
        <w:rPr>
          <w:rFonts w:hint="default" w:ascii="仿宋_GB2312" w:eastAsia="仿宋_GB2312" w:hAnsiTheme="minorHAnsi" w:cstheme="minorBidi"/>
          <w:sz w:val="32"/>
          <w:szCs w:val="32"/>
        </w:rPr>
        <w:t>教育资源公共服务模式研究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（三十九）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高等教育数字化教学与</w:t>
      </w:r>
      <w:r>
        <w:rPr>
          <w:rFonts w:hint="default" w:ascii="仿宋_GB2312" w:eastAsia="仿宋_GB2312" w:hAnsiTheme="minorHAnsi" w:cstheme="minorBidi"/>
          <w:sz w:val="32"/>
          <w:szCs w:val="32"/>
        </w:rPr>
        <w:t>学习方式变革及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其</w:t>
      </w:r>
      <w:r>
        <w:rPr>
          <w:rFonts w:hint="default" w:ascii="仿宋_GB2312" w:eastAsia="仿宋_GB2312" w:hAnsiTheme="minorHAnsi" w:cstheme="minorBidi"/>
          <w:sz w:val="32"/>
          <w:szCs w:val="32"/>
        </w:rPr>
        <w:t>影响因素研究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（四十）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促进继续教育创新与发展研究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（四十一）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高等教育数字化与终身学习认证体系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高等教育数字化发展与</w:t>
      </w:r>
      <w:r>
        <w:rPr>
          <w:rFonts w:hint="default" w:ascii="仿宋_GB2312" w:eastAsia="仿宋_GB2312"/>
          <w:sz w:val="32"/>
          <w:szCs w:val="32"/>
        </w:rPr>
        <w:t>学术诚信问题研究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）高校人工智能与伦理教育的现状、挑战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对策研究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（四十四）数字化背景下</w:t>
      </w:r>
      <w:r>
        <w:rPr>
          <w:rFonts w:hint="eastAsia" w:ascii="仿宋_GB2312" w:eastAsia="仿宋_GB2312"/>
          <w:sz w:val="32"/>
          <w:szCs w:val="32"/>
        </w:rPr>
        <w:t>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健康成长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成才</w:t>
      </w:r>
      <w:r>
        <w:rPr>
          <w:rFonts w:hint="eastAsia" w:ascii="仿宋_GB2312" w:eastAsia="仿宋_GB2312"/>
          <w:sz w:val="32"/>
          <w:szCs w:val="32"/>
        </w:rPr>
        <w:t>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五、高校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德育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与宣传思想工作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（四十五）高校马克思主义理论课与</w:t>
      </w:r>
      <w:r>
        <w:rPr>
          <w:rFonts w:hint="eastAsia" w:ascii="仿宋_GB2312" w:eastAsia="仿宋_GB2312"/>
          <w:sz w:val="32"/>
          <w:szCs w:val="32"/>
        </w:rPr>
        <w:t>德育课程教学改革研究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时代精神与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道德教育改革研究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（四十七）大学生</w:t>
      </w:r>
      <w:r>
        <w:rPr>
          <w:rFonts w:hint="eastAsia" w:ascii="仿宋_GB2312" w:eastAsia="仿宋_GB2312"/>
          <w:sz w:val="32"/>
          <w:szCs w:val="32"/>
        </w:rPr>
        <w:t>生命教育研究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大学生社会责任感现状及其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（四十九）推进大中小学思想政治教育一体化建设研究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（五十）高校</w:t>
      </w:r>
      <w:r>
        <w:rPr>
          <w:rFonts w:hint="eastAsia" w:ascii="仿宋_GB2312" w:eastAsia="仿宋_GB2312"/>
          <w:sz w:val="32"/>
          <w:szCs w:val="32"/>
        </w:rPr>
        <w:t>师德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师风</w:t>
      </w:r>
      <w:r>
        <w:rPr>
          <w:rFonts w:hint="eastAsia" w:ascii="仿宋_GB2312" w:eastAsia="仿宋_GB2312"/>
          <w:sz w:val="32"/>
          <w:szCs w:val="32"/>
        </w:rPr>
        <w:t>建设与考核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高校学风建设与学术规范教育研究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高校意识形态工作与高校改革发展稳定研究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（五十三）加强高校全媒体传播体系建设研究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（五十四）塑造高校主流舆论新格局与加强国际传播能力建设研究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六、高校教师教学发展研究专项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）深化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</w:rPr>
        <w:t>教师教学发展中心运作机制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教师教学发展中心专业化建设路径研究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院系教师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/>
          <w:sz w:val="32"/>
          <w:szCs w:val="32"/>
        </w:rPr>
        <w:t>发展分中心的组织运行研究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发展中心工作人员胜任力研究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数字化转型背景下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教师教学发展研究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新教师教学发展方案制定研究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）高校教师教学发展方案分级课程开发与设计研究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高校教师</w:t>
      </w:r>
      <w:r>
        <w:rPr>
          <w:rFonts w:hint="eastAsia" w:ascii="仿宋_GB2312" w:eastAsia="仿宋_GB2312"/>
          <w:sz w:val="32"/>
          <w:szCs w:val="32"/>
        </w:rPr>
        <w:t>教学培训与课堂变革一体化研究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混合式教学培训的理论与实践研究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教师教学学术能力发展态势和机制构建研究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教师教学发展全周期培养制度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共同体建设策略研究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新工科、新医科、新农科、新文科、新师范</w:t>
      </w:r>
      <w:r>
        <w:rPr>
          <w:rFonts w:hint="eastAsia" w:ascii="仿宋_GB2312" w:eastAsia="仿宋_GB2312"/>
          <w:sz w:val="32"/>
          <w:szCs w:val="32"/>
        </w:rPr>
        <w:t>建设背景下的虚拟教研（虚拟教研室）体制机制建设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教师专业发展档案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M1N2E0ZjkzMjcyMjNlOGU1MTEwZDdmYjVhYzQifQ=="/>
  </w:docVars>
  <w:rsids>
    <w:rsidRoot w:val="5DD377B0"/>
    <w:rsid w:val="5DD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2023-05-06T06:01:00Z</dcterms:created>
  <dc:creator>Betty</dc:creator>
  <cp:lastModifiedBy>Betty</cp:lastModifiedBy>
  <dcterms:modified xsi:type="dcterms:W3CDTF">2023-05-06T06:02:52Z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E93F2AA663104320A23F8F8515058C6D_11</vt:lpwstr>
  </property>
</Properties>
</file>