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  <w:bookmarkEnd w:id="0"/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马克思主义教育思想理论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新时代教育功能与属性研究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中国教育传统的哲学阐释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教育公平实践的理论建构研究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教育普及实践的理论建构研究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中国数字教育实践的理论建构研究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教育学教学研究体系深层变革研究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新型教育学院建设研究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《中国教育学建设指导意见》编制研究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《中国教育学论纲》教材编写研究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教育强国建设阶段性指标与评估研究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0-6岁托幼一体化研究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适应学龄人口波动的中小学一贯制办学研究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国家中小学教材质量监测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与评价</w:t>
      </w:r>
      <w:r>
        <w:rPr>
          <w:rFonts w:hint="eastAsia" w:ascii="仿宋_GB2312" w:eastAsia="仿宋_GB2312"/>
          <w:sz w:val="32"/>
          <w:szCs w:val="32"/>
          <w:lang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市县结合的基础教育管理体制研究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基础教育学制改革研究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hint="eastAsia" w:ascii="仿宋_GB2312" w:eastAsia="仿宋_GB2312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全球大学生创新指数研究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博士研究生教育全球竞争力比较研究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孤独症群体全生命周期培养体系构建</w:t>
      </w:r>
      <w:r>
        <w:rPr>
          <w:rFonts w:hint="eastAsia" w:ascii="仿宋_GB2312" w:eastAsia="仿宋_GB2312"/>
          <w:sz w:val="32"/>
          <w:szCs w:val="32"/>
          <w:lang w:eastAsia="zh-CN"/>
        </w:rPr>
        <w:t>和标准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全国学生心理健康监测体系研究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健康学校建设指标体系研究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综合性大学毕业入职教师职业发展跟踪研究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国家智慧教育公共服务平台应用示范标准研究</w:t>
      </w:r>
    </w:p>
    <w:p>
      <w:pPr>
        <w:pStyle w:val="2"/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港澳教育融入教育强国建设研究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总体国家安全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观</w:t>
      </w:r>
      <w:r>
        <w:rPr>
          <w:rFonts w:hint="eastAsia" w:ascii="仿宋_GB2312" w:eastAsia="仿宋_GB2312"/>
          <w:sz w:val="32"/>
          <w:szCs w:val="32"/>
        </w:rPr>
        <w:t>视域下边境教育发展研究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数字教育中的意识形态安全风险及应对研究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数字教育立法研究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联合国教科文组织STEM一类中心建设研究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联合国2030年可持续发展议程教育目标（SDG4）中国进展监测研究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新中国成立75周年学生资助档案文献整理研究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新中国成立75周年教育理论刊物发展研究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经典教育文本研究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3B36C0-7F3A-4E51-A9B7-039AFE655C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631AE8-4694-437B-88A5-D3DE278C0C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CB8F985-42D8-40C5-87D1-07706F53D6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803E7E-7789-4C96-AA40-700412EEA0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D4C90"/>
    <w:multiLevelType w:val="singleLevel"/>
    <w:tmpl w:val="59ED4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DEDAB3"/>
    <w:multiLevelType w:val="singleLevel"/>
    <w:tmpl w:val="60DED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EwYTlhY2Q5YzgwYTIwOTc4MTMzMDM0MWIxOGMifQ=="/>
  </w:docVars>
  <w:rsids>
    <w:rsidRoot w:val="1C437727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29E65FD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彩</cp:lastModifiedBy>
  <cp:lastPrinted>2024-04-24T03:21:00Z</cp:lastPrinted>
  <dcterms:modified xsi:type="dcterms:W3CDTF">2024-07-02T01:59:03Z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521C670F806E469A93EB678D8C07B8B7_13</vt:lpwstr>
  </property>
</Properties>
</file>