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37F9"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EC62380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24CA963">
      <w:pPr>
        <w:spacing w:line="360" w:lineRule="auto"/>
        <w:jc w:val="left"/>
        <w:rPr>
          <w:rFonts w:hint="eastAsia" w:ascii="黑体" w:hAnsi="黑体" w:eastAsia="黑体" w:cs="黑体"/>
          <w:sz w:val="32"/>
          <w:szCs w:val="36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广东省学校德育科研管理信息系统操作指南</w:t>
      </w:r>
    </w:p>
    <w:p w14:paraId="420B042C">
      <w:pPr>
        <w:spacing w:line="360" w:lineRule="auto"/>
        <w:jc w:val="center"/>
        <w:rPr>
          <w:rFonts w:hint="eastAsia" w:ascii="黑体" w:hAnsi="黑体" w:eastAsia="黑体" w:cs="黑体"/>
          <w:sz w:val="32"/>
          <w:szCs w:val="36"/>
        </w:rPr>
      </w:pPr>
    </w:p>
    <w:p w14:paraId="3BABD138">
      <w:pPr>
        <w:spacing w:line="360" w:lineRule="auto"/>
        <w:jc w:val="center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【申报人员版】</w:t>
      </w:r>
    </w:p>
    <w:p w14:paraId="498624E3">
      <w:pPr>
        <w:spacing w:line="360" w:lineRule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（一）登录https://gddy.scnu.edu.cn/</w:t>
      </w:r>
    </w:p>
    <w:p w14:paraId="3A42069C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drawing>
          <wp:inline distT="0" distB="0" distL="0" distR="0">
            <wp:extent cx="4394200" cy="23685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20468F7">
      <w:pPr>
        <w:spacing w:line="360" w:lineRule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（二）注册账户（已有账户可直接登录）</w:t>
      </w:r>
    </w:p>
    <w:p w14:paraId="4E3B7A7C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drawing>
          <wp:inline distT="0" distB="0" distL="0" distR="0">
            <wp:extent cx="4419600" cy="23812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AD6CE12">
      <w:pPr>
        <w:spacing w:line="36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1.</w:t>
      </w:r>
      <w:r>
        <w:rPr>
          <w:rFonts w:ascii="仿宋" w:hAnsi="仿宋" w:eastAsia="仿宋" w:cs="仿宋"/>
          <w:sz w:val="32"/>
        </w:rPr>
        <w:t>单位类别选择</w:t>
      </w:r>
    </w:p>
    <w:p w14:paraId="7DAC7F5F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4933950" cy="27686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62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</w:rPr>
        <w:t>属中小学选择“省属中小学”；地级市中小学选择“地级市教育局”；高校选择“本科院校”/“专科院校”。</w:t>
      </w:r>
    </w:p>
    <w:p w14:paraId="46A07BCC">
      <w:pPr>
        <w:spacing w:line="36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2.</w:t>
      </w:r>
      <w:r>
        <w:rPr>
          <w:rFonts w:ascii="仿宋" w:hAnsi="仿宋" w:eastAsia="仿宋" w:cs="仿宋"/>
          <w:sz w:val="32"/>
        </w:rPr>
        <w:t>所在单位选择</w:t>
      </w:r>
    </w:p>
    <w:p w14:paraId="15BA0DD7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4978400" cy="27940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1A495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5035550" cy="282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3B9C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省属中小学选择“省属中小学”；地级市中小学选择所在的教育局名称；高校选择对应学校名称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0FBC6D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（三）登录</w:t>
      </w:r>
    </w:p>
    <w:p w14:paraId="5608DA82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drawing>
          <wp:inline distT="0" distB="0" distL="0" distR="0">
            <wp:extent cx="5099050" cy="286385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9F5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如遇账号登录或注册存在问题，可电话联系或发送电子邮件到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20220326@gcc.edu.cn</w:t>
      </w:r>
    </w:p>
    <w:p w14:paraId="01F4CA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（四）提交</w:t>
      </w:r>
    </w:p>
    <w:p w14:paraId="2705F703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drawing>
          <wp:inline distT="0" distB="0" distL="0" distR="0">
            <wp:extent cx="5086350" cy="742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F1E7">
      <w:pPr>
        <w:spacing w:line="360" w:lineRule="auto"/>
        <w:rPr>
          <w:rFonts w:hint="eastAsia" w:ascii="仿宋" w:hAnsi="仿宋" w:eastAsia="仿宋" w:cs="仿宋"/>
          <w:sz w:val="28"/>
        </w:rPr>
      </w:pPr>
    </w:p>
    <w:p w14:paraId="390A0429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drawing>
          <wp:inline distT="0" distB="0" distL="0" distR="0">
            <wp:extent cx="5067300" cy="1092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5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592F"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drawing>
          <wp:inline distT="0" distB="0" distL="0" distR="0">
            <wp:extent cx="5080000" cy="6477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E02BD">
      <w:pPr>
        <w:rPr>
          <w:rFonts w:hint="eastAsia" w:ascii="黑体" w:hAnsi="黑体" w:eastAsia="黑体" w:cs="黑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A1"/>
    <w:rsid w:val="0012099B"/>
    <w:rsid w:val="005B26A1"/>
    <w:rsid w:val="00C00AAF"/>
    <w:rsid w:val="00D34677"/>
    <w:rsid w:val="360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245</Characters>
  <Lines>1</Lines>
  <Paragraphs>1</Paragraphs>
  <TotalTime>0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2024-12-09T02:49:00Z</dcterms:created>
  <dc:creator>白丽君</dc:creator>
  <cp:lastModifiedBy>生</cp:lastModifiedBy>
  <dcterms:modified xsi:type="dcterms:W3CDTF">2024-12-10T09:30:29Z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E372607DF97D4482B99C80650CC61B02_12</vt:lpwstr>
  </property>
</Properties>
</file>