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B6411">
      <w:pPr>
        <w:pStyle w:val="4"/>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 w:eastAsia="zh-CN"/>
        </w:rPr>
        <w:t>附件</w:t>
      </w:r>
      <w:r>
        <w:rPr>
          <w:rFonts w:hint="eastAsia" w:ascii="黑体" w:hAnsi="黑体" w:eastAsia="黑体" w:cs="黑体"/>
          <w:sz w:val="32"/>
          <w:szCs w:val="32"/>
          <w:highlight w:val="none"/>
          <w:lang w:val="en-US" w:eastAsia="zh-CN"/>
        </w:rPr>
        <w:t>1</w:t>
      </w:r>
    </w:p>
    <w:p w14:paraId="40444E0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宋体" w:hAnsi="宋体"/>
          <w:highlight w:val="none"/>
          <w:lang w:val="en-US" w:eastAsia="zh-CN"/>
        </w:rPr>
      </w:pPr>
    </w:p>
    <w:p w14:paraId="3597DAE7">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highlight w:val="none"/>
          <w:lang w:val="en-US" w:eastAsia="zh-CN"/>
        </w:rPr>
      </w:pPr>
    </w:p>
    <w:p w14:paraId="518811B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人力资源社会保障部</w:t>
      </w:r>
    </w:p>
    <w:p w14:paraId="1C9F20A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2025年重大课题申报指南</w:t>
      </w:r>
    </w:p>
    <w:p w14:paraId="4220DF43">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宋体" w:hAnsi="宋体" w:eastAsia="楷体"/>
          <w:sz w:val="32"/>
          <w:highlight w:val="none"/>
          <w:lang w:val="en-US" w:eastAsia="zh-CN"/>
        </w:rPr>
      </w:pPr>
    </w:p>
    <w:p w14:paraId="49969E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一、总体要求</w:t>
      </w:r>
    </w:p>
    <w:p w14:paraId="5A5A86FF">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textAlignment w:val="auto"/>
        <w:rPr>
          <w:rFonts w:hint="default" w:ascii="宋体" w:hAnsi="宋体" w:eastAsia="仿宋_GB2312"/>
          <w:sz w:val="32"/>
          <w:highlight w:val="none"/>
          <w:lang w:val="en-US" w:eastAsia="zh-CN"/>
        </w:rPr>
      </w:pPr>
      <w:r>
        <w:rPr>
          <w:rFonts w:hint="eastAsia" w:ascii="宋体" w:hAnsi="宋体" w:eastAsia="仿宋_GB2312"/>
          <w:sz w:val="32"/>
          <w:highlight w:val="none"/>
          <w:lang w:val="en-US" w:eastAsia="zh-CN"/>
        </w:rPr>
        <w:t xml:space="preserve">    以习近平新时代中国特色社会主义思想为指导，深入贯彻党的二十大和二十届二中、三中全会以及中央经济工作会议精神，坚持以人民为中心的发展思想，完整准确全面贯彻新发展理念，正确认识和准确把握党中央、国务院关于经济社会发展特别是人力资源社会保障工作的决策部署要求，立足国情社情民情，围绕课题主要研究内容，聚焦课题研究重点难点，强化问题导向和系统观念，突出改革思维和创新思路，</w:t>
      </w:r>
      <w:r>
        <w:rPr>
          <w:rFonts w:hint="eastAsia" w:ascii="宋体" w:hAnsi="宋体" w:eastAsia="仿宋_GB2312" w:cs="仿宋_GB2312"/>
          <w:sz w:val="32"/>
          <w:szCs w:val="32"/>
          <w:highlight w:val="none"/>
          <w:lang w:val="en-US" w:eastAsia="zh-CN"/>
        </w:rPr>
        <w:t>形成兼具理论性与实践性、前瞻性与创新性的研究成果，为推动人力资源社会保障事业高质量发展提供智力支持。</w:t>
      </w:r>
    </w:p>
    <w:p w14:paraId="1F97B2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二、选题范围</w:t>
      </w:r>
    </w:p>
    <w:p w14:paraId="5CF79B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（一）就业友好型发展方式研究</w:t>
      </w:r>
    </w:p>
    <w:p w14:paraId="7583BE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梳理总结国内外有益做法和先进经验，研究就业友好型发展的内涵、本质和特征，对我国构建就业友好型发展方式提出有价值的政策建议。</w:t>
      </w:r>
    </w:p>
    <w:p w14:paraId="2FDF33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（二）</w:t>
      </w:r>
      <w:r>
        <w:rPr>
          <w:rFonts w:hint="default" w:ascii="宋体" w:hAnsi="宋体" w:eastAsia="楷体" w:cs="楷体"/>
          <w:sz w:val="32"/>
          <w:highlight w:val="none"/>
          <w:lang w:val="en-US" w:eastAsia="zh-CN"/>
        </w:rPr>
        <w:t>中国就业理论体系研究</w:t>
      </w:r>
    </w:p>
    <w:p w14:paraId="0387BA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主要研究内容：梳理</w:t>
      </w:r>
      <w:r>
        <w:rPr>
          <w:rFonts w:hint="eastAsia" w:ascii="宋体" w:hAnsi="宋体" w:eastAsia="仿宋_GB2312" w:cs="仿宋_GB2312"/>
          <w:b w:val="0"/>
          <w:bCs w:val="0"/>
          <w:color w:val="auto"/>
          <w:sz w:val="32"/>
          <w:szCs w:val="32"/>
          <w:highlight w:val="none"/>
          <w:u w:val="none"/>
          <w:lang w:val="en" w:eastAsia="zh-CN"/>
        </w:rPr>
        <w:t>总结国际前沿就业理论，结合中国就业实践，聚焦促进高质量充分就业，研究提出适应中国国情的就业理论体系。</w:t>
      </w:r>
    </w:p>
    <w:p w14:paraId="788D20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（三）</w:t>
      </w:r>
      <w:r>
        <w:rPr>
          <w:rFonts w:hint="default" w:ascii="宋体" w:hAnsi="宋体" w:eastAsia="楷体" w:cs="楷体"/>
          <w:sz w:val="32"/>
          <w:highlight w:val="none"/>
          <w:lang w:val="en-US" w:eastAsia="zh-CN"/>
        </w:rPr>
        <w:t>推动人力资源服务业创新发展研究</w:t>
      </w:r>
    </w:p>
    <w:p w14:paraId="57E6F2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Times New Roman"/>
          <w:sz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Times New Roman"/>
          <w:sz w:val="32"/>
          <w:highlight w:val="none"/>
          <w:lang w:eastAsia="zh-CN"/>
        </w:rPr>
        <w:t>梳理总结</w:t>
      </w:r>
      <w:r>
        <w:rPr>
          <w:rFonts w:hint="default" w:ascii="宋体" w:hAnsi="宋体" w:eastAsia="仿宋_GB2312" w:cs="Times New Roman"/>
          <w:sz w:val="32"/>
          <w:highlight w:val="none"/>
          <w:lang w:eastAsia="zh-CN"/>
        </w:rPr>
        <w:t>世界主要经济国家和地区人力资源服务业发展状况，</w:t>
      </w:r>
      <w:r>
        <w:rPr>
          <w:rFonts w:hint="eastAsia" w:ascii="宋体" w:hAnsi="宋体" w:eastAsia="仿宋_GB2312" w:cs="Times New Roman"/>
          <w:sz w:val="32"/>
          <w:highlight w:val="none"/>
          <w:lang w:eastAsia="zh-CN"/>
        </w:rPr>
        <w:t>对标剖析</w:t>
      </w:r>
      <w:r>
        <w:rPr>
          <w:rFonts w:hint="eastAsia" w:ascii="宋体" w:hAnsi="宋体" w:eastAsia="仿宋_GB2312" w:cs="Times New Roman"/>
          <w:sz w:val="32"/>
          <w:highlight w:val="none"/>
          <w:lang w:val="en-US" w:eastAsia="zh-CN"/>
        </w:rPr>
        <w:t>3—5家全球知名人力资源服务企业，</w:t>
      </w:r>
      <w:r>
        <w:rPr>
          <w:rFonts w:hint="default" w:ascii="宋体" w:hAnsi="宋体" w:eastAsia="仿宋_GB2312" w:cs="Times New Roman"/>
          <w:sz w:val="32"/>
          <w:highlight w:val="none"/>
          <w:lang w:eastAsia="zh-CN"/>
        </w:rPr>
        <w:t>深入</w:t>
      </w:r>
      <w:r>
        <w:rPr>
          <w:rFonts w:hint="eastAsia" w:ascii="宋体" w:hAnsi="宋体" w:eastAsia="仿宋_GB2312" w:cs="Times New Roman"/>
          <w:sz w:val="32"/>
          <w:highlight w:val="none"/>
          <w:lang w:eastAsia="zh-CN"/>
        </w:rPr>
        <w:t>分析</w:t>
      </w:r>
      <w:r>
        <w:rPr>
          <w:rFonts w:hint="default" w:ascii="宋体" w:hAnsi="宋体" w:eastAsia="仿宋_GB2312" w:cs="Times New Roman"/>
          <w:sz w:val="32"/>
          <w:highlight w:val="none"/>
          <w:lang w:eastAsia="zh-CN"/>
        </w:rPr>
        <w:t>当前和今后一个时期我国人力资源服务业发展趋势，探索</w:t>
      </w:r>
      <w:r>
        <w:rPr>
          <w:rFonts w:hint="eastAsia" w:ascii="宋体" w:hAnsi="宋体" w:eastAsia="仿宋_GB2312" w:cs="Times New Roman"/>
          <w:sz w:val="32"/>
          <w:highlight w:val="none"/>
          <w:lang w:eastAsia="zh-CN"/>
        </w:rPr>
        <w:t>构建我</w:t>
      </w:r>
      <w:r>
        <w:rPr>
          <w:rFonts w:hint="default" w:ascii="宋体" w:hAnsi="宋体" w:eastAsia="仿宋_GB2312" w:cs="Times New Roman"/>
          <w:sz w:val="32"/>
          <w:highlight w:val="none"/>
          <w:lang w:eastAsia="zh-CN"/>
        </w:rPr>
        <w:t>国人力资源服务业创新发展的指标体系</w:t>
      </w:r>
      <w:r>
        <w:rPr>
          <w:rFonts w:hint="eastAsia" w:ascii="宋体" w:hAnsi="宋体" w:eastAsia="仿宋_GB2312" w:cs="Times New Roman"/>
          <w:sz w:val="32"/>
          <w:highlight w:val="none"/>
          <w:lang w:eastAsia="zh-CN"/>
        </w:rPr>
        <w:t>，</w:t>
      </w:r>
      <w:r>
        <w:rPr>
          <w:rFonts w:hint="default" w:ascii="宋体" w:hAnsi="宋体" w:eastAsia="仿宋_GB2312" w:cs="Times New Roman"/>
          <w:sz w:val="32"/>
          <w:highlight w:val="none"/>
          <w:lang w:eastAsia="zh-CN"/>
        </w:rPr>
        <w:t>提出推动人力资源服务业在专业化、数字化、智能化、国际化方面的创新路径</w:t>
      </w:r>
      <w:r>
        <w:rPr>
          <w:rFonts w:hint="eastAsia" w:ascii="宋体" w:hAnsi="宋体" w:eastAsia="仿宋_GB2312" w:cs="Times New Roman"/>
          <w:sz w:val="32"/>
          <w:highlight w:val="none"/>
          <w:lang w:val="en-US" w:eastAsia="zh-CN"/>
        </w:rPr>
        <w:t>和</w:t>
      </w:r>
      <w:r>
        <w:rPr>
          <w:rFonts w:hint="default" w:ascii="宋体" w:hAnsi="宋体" w:eastAsia="仿宋_GB2312" w:cs="Times New Roman"/>
          <w:sz w:val="32"/>
          <w:highlight w:val="none"/>
          <w:lang w:eastAsia="zh-CN"/>
        </w:rPr>
        <w:t>政策建议。</w:t>
      </w:r>
    </w:p>
    <w:p w14:paraId="353423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（四）</w:t>
      </w:r>
      <w:r>
        <w:rPr>
          <w:rFonts w:hint="default" w:ascii="宋体" w:hAnsi="宋体" w:eastAsia="楷体" w:cs="楷体"/>
          <w:sz w:val="32"/>
          <w:highlight w:val="none"/>
          <w:lang w:val="en-US" w:eastAsia="zh-CN"/>
        </w:rPr>
        <w:t>农村人力资源开发利用研究</w:t>
      </w:r>
    </w:p>
    <w:p w14:paraId="4C9FF71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楷体"/>
          <w:kern w:val="2"/>
          <w:sz w:val="32"/>
          <w:szCs w:val="24"/>
          <w:highlight w:val="none"/>
          <w:lang w:val="en-US" w:eastAsia="zh-CN" w:bidi="ar-SA"/>
        </w:rPr>
        <w:t>分析当前我国</w:t>
      </w:r>
      <w:r>
        <w:rPr>
          <w:rFonts w:hint="default" w:ascii="宋体" w:hAnsi="宋体" w:eastAsia="仿宋_GB2312" w:cs="仿宋_GB2312"/>
          <w:sz w:val="32"/>
          <w:szCs w:val="32"/>
          <w:highlight w:val="none"/>
        </w:rPr>
        <w:t>农村人力资源总体情况</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评估当前农村人力资源开发利用政策效果，分析问题短板及原因</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总结</w:t>
      </w:r>
      <w:r>
        <w:rPr>
          <w:rFonts w:hint="default" w:ascii="宋体" w:hAnsi="宋体" w:eastAsia="仿宋_GB2312" w:cs="仿宋_GB2312"/>
          <w:sz w:val="32"/>
          <w:szCs w:val="32"/>
          <w:highlight w:val="none"/>
        </w:rPr>
        <w:t>国外典型经验</w:t>
      </w:r>
      <w:r>
        <w:rPr>
          <w:rFonts w:hint="eastAsia" w:ascii="宋体" w:hAnsi="宋体" w:eastAsia="仿宋_GB2312" w:cs="仿宋_GB2312"/>
          <w:sz w:val="32"/>
          <w:szCs w:val="32"/>
          <w:highlight w:val="none"/>
          <w:lang w:eastAsia="zh-CN"/>
        </w:rPr>
        <w:t>，研究提出</w:t>
      </w:r>
      <w:r>
        <w:rPr>
          <w:rFonts w:hint="default" w:ascii="宋体" w:hAnsi="宋体" w:eastAsia="仿宋_GB2312" w:cs="仿宋_GB2312"/>
          <w:sz w:val="32"/>
          <w:szCs w:val="32"/>
          <w:highlight w:val="none"/>
        </w:rPr>
        <w:t>农村人力资源开发利用的路径</w:t>
      </w:r>
      <w:r>
        <w:rPr>
          <w:rFonts w:hint="eastAsia" w:ascii="宋体" w:hAnsi="宋体" w:eastAsia="仿宋_GB2312" w:cs="仿宋_GB2312"/>
          <w:sz w:val="32"/>
          <w:szCs w:val="32"/>
          <w:highlight w:val="none"/>
          <w:lang w:eastAsia="zh-CN"/>
        </w:rPr>
        <w:t>和政</w:t>
      </w:r>
      <w:r>
        <w:rPr>
          <w:rFonts w:hint="default" w:ascii="宋体" w:hAnsi="宋体" w:eastAsia="仿宋_GB2312" w:cs="仿宋_GB2312"/>
          <w:sz w:val="32"/>
          <w:szCs w:val="32"/>
          <w:highlight w:val="none"/>
        </w:rPr>
        <w:t>策建议。</w:t>
      </w:r>
    </w:p>
    <w:p w14:paraId="1224D4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（五）</w:t>
      </w:r>
      <w:r>
        <w:rPr>
          <w:rFonts w:hint="default" w:ascii="宋体" w:hAnsi="宋体" w:eastAsia="楷体" w:cs="楷体"/>
          <w:sz w:val="32"/>
          <w:highlight w:val="none"/>
          <w:lang w:val="en-US" w:eastAsia="zh-CN"/>
        </w:rPr>
        <w:t>扩大企业年金制度覆盖范围问题</w:t>
      </w:r>
      <w:r>
        <w:rPr>
          <w:rFonts w:hint="eastAsia" w:ascii="宋体" w:hAnsi="宋体" w:eastAsia="楷体" w:cs="楷体"/>
          <w:sz w:val="32"/>
          <w:highlight w:val="none"/>
          <w:lang w:val="en-US" w:eastAsia="zh-CN"/>
        </w:rPr>
        <w:t>研究</w:t>
      </w:r>
    </w:p>
    <w:p w14:paraId="7D96BDA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sz w:val="32"/>
          <w:szCs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分析</w:t>
      </w:r>
      <w:r>
        <w:rPr>
          <w:rFonts w:hint="default" w:ascii="宋体" w:hAnsi="宋体" w:eastAsia="仿宋_GB2312" w:cs="仿宋_GB2312"/>
          <w:sz w:val="32"/>
          <w:szCs w:val="32"/>
          <w:highlight w:val="none"/>
        </w:rPr>
        <w:t>企业年金扩面存在的问题和难点，借鉴国际经验，提出扩大</w:t>
      </w:r>
      <w:r>
        <w:rPr>
          <w:rFonts w:hint="eastAsia" w:ascii="宋体" w:hAnsi="宋体" w:eastAsia="仿宋_GB2312" w:cs="仿宋_GB2312"/>
          <w:sz w:val="32"/>
          <w:szCs w:val="32"/>
          <w:highlight w:val="none"/>
          <w:lang w:eastAsia="zh-CN"/>
        </w:rPr>
        <w:t>企业年金制度</w:t>
      </w:r>
      <w:r>
        <w:rPr>
          <w:rFonts w:hint="default" w:ascii="宋体" w:hAnsi="宋体" w:eastAsia="仿宋_GB2312" w:cs="仿宋_GB2312"/>
          <w:sz w:val="32"/>
          <w:szCs w:val="32"/>
          <w:highlight w:val="none"/>
        </w:rPr>
        <w:t>覆盖范围的改革路径，</w:t>
      </w:r>
      <w:r>
        <w:rPr>
          <w:rFonts w:hint="eastAsia" w:ascii="宋体" w:hAnsi="宋体" w:eastAsia="仿宋_GB2312" w:cs="仿宋_GB2312"/>
          <w:sz w:val="32"/>
          <w:szCs w:val="32"/>
          <w:highlight w:val="none"/>
          <w:lang w:eastAsia="zh-CN"/>
        </w:rPr>
        <w:t>预测</w:t>
      </w:r>
      <w:r>
        <w:rPr>
          <w:rFonts w:hint="default" w:ascii="宋体" w:hAnsi="宋体" w:eastAsia="仿宋_GB2312" w:cs="仿宋_GB2312"/>
          <w:sz w:val="32"/>
          <w:szCs w:val="32"/>
          <w:highlight w:val="none"/>
        </w:rPr>
        <w:t>各路径对经济社会发展、企业成本、财政支出（支持）政策、企业年金制度运行模式和职工待遇等的影响</w:t>
      </w:r>
      <w:r>
        <w:rPr>
          <w:rFonts w:hint="eastAsia" w:ascii="宋体" w:hAnsi="宋体" w:eastAsia="仿宋_GB2312" w:cs="仿宋_GB2312"/>
          <w:sz w:val="32"/>
          <w:szCs w:val="32"/>
          <w:highlight w:val="none"/>
          <w:lang w:eastAsia="zh-CN"/>
        </w:rPr>
        <w:t>。研究提出企业年金制度内转移，与职业年金跨制度转移，以及与个人养老金跨制度转移等实现路径。</w:t>
      </w:r>
    </w:p>
    <w:p w14:paraId="078CE6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（六）</w:t>
      </w:r>
      <w:r>
        <w:rPr>
          <w:rFonts w:hint="default" w:ascii="宋体" w:hAnsi="宋体" w:eastAsia="楷体" w:cs="楷体"/>
          <w:sz w:val="32"/>
          <w:highlight w:val="none"/>
          <w:lang w:val="en-US" w:eastAsia="zh-CN"/>
        </w:rPr>
        <w:t>《工伤保险条例》修订若干问题研究</w:t>
      </w:r>
    </w:p>
    <w:p w14:paraId="3061252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sz w:val="32"/>
          <w:szCs w:val="32"/>
          <w:highlight w:val="none"/>
          <w:lang w:eastAsia="zh-CN"/>
        </w:rPr>
        <w:t>围绕工伤保障制度覆盖范围、完善工伤认定和待遇政策、完善工伤保险经办管理职责、强化工伤预防和工伤康复有关内容、健全“三位一体”工伤保险制度体系、优化工伤保险信息化建设和公共服务等重点方面，总结梳理现状，分析存在问题，研究提出《工伤保险条例》修订的政策建议和具体措施。</w:t>
      </w:r>
    </w:p>
    <w:p w14:paraId="7A67D5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（七）</w:t>
      </w:r>
      <w:r>
        <w:rPr>
          <w:rFonts w:hint="default" w:ascii="宋体" w:hAnsi="宋体" w:eastAsia="楷体" w:cs="楷体"/>
          <w:sz w:val="32"/>
          <w:highlight w:val="none"/>
          <w:lang w:val="en-US" w:eastAsia="zh-CN"/>
        </w:rPr>
        <w:t>社保基金监督条例立法若干问题研究</w:t>
      </w:r>
    </w:p>
    <w:p w14:paraId="0E308F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围绕进一步</w:t>
      </w:r>
      <w:r>
        <w:rPr>
          <w:rFonts w:hint="eastAsia" w:ascii="宋体" w:hAnsi="宋体" w:eastAsia="仿宋_GB2312" w:cs="仿宋_GB2312"/>
          <w:sz w:val="32"/>
          <w:szCs w:val="32"/>
          <w:highlight w:val="none"/>
          <w:lang w:eastAsia="zh-CN"/>
        </w:rPr>
        <w:t>明确各部门基金监督职责、完善基金监督工作体系、健全基金安全风险防控机制、细化完善基金违规违法行为法律责任等重点方面，总结梳理现状，分析存在问题，研究提出政策建议和改进加强的具体措施。</w:t>
      </w:r>
    </w:p>
    <w:p w14:paraId="1C66D0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（八）</w:t>
      </w:r>
      <w:r>
        <w:rPr>
          <w:rFonts w:hint="default" w:ascii="宋体" w:hAnsi="宋体" w:eastAsia="楷体" w:cs="楷体"/>
          <w:sz w:val="32"/>
          <w:highlight w:val="none"/>
          <w:lang w:val="en-US" w:eastAsia="zh-CN"/>
        </w:rPr>
        <w:t>构建国家资历框架体系研究</w:t>
      </w:r>
    </w:p>
    <w:p w14:paraId="22F1756E">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b w:val="0"/>
          <w:bCs w:val="0"/>
          <w:color w:val="auto"/>
          <w:sz w:val="32"/>
          <w:szCs w:val="32"/>
          <w:highlight w:val="none"/>
          <w:u w:val="none"/>
          <w:lang w:val="en" w:eastAsia="zh-CN"/>
        </w:rPr>
        <w:t>梳理总结我国国家资历框架内容现行情况，重点分析我国国家资历框架构建过程中的堵点卡点难点及其产生原因，借鉴其他国家经验，研究阐释中国特色国家资历框架的内涵，提出构建我国国家资历框架的突破点、发力点及实现路径。</w:t>
      </w:r>
    </w:p>
    <w:p w14:paraId="56B272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（九）</w:t>
      </w:r>
      <w:r>
        <w:rPr>
          <w:rFonts w:hint="default" w:ascii="宋体" w:hAnsi="宋体" w:eastAsia="楷体" w:cs="楷体"/>
          <w:sz w:val="32"/>
          <w:highlight w:val="none"/>
          <w:lang w:val="en-US" w:eastAsia="zh-CN"/>
        </w:rPr>
        <w:t>人才服务体系建设研究</w:t>
      </w:r>
    </w:p>
    <w:p w14:paraId="599EA7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主要研究内容：研究辨析人才服务相关概念、范畴、内在逻辑以及与其他人才工作和教育科技工作的关系，</w:t>
      </w:r>
      <w:r>
        <w:rPr>
          <w:rFonts w:hint="eastAsia" w:ascii="宋体" w:hAnsi="宋体" w:eastAsia="仿宋_GB2312" w:cs="仿宋_GB2312"/>
          <w:b w:val="0"/>
          <w:bCs w:val="0"/>
          <w:color w:val="auto"/>
          <w:sz w:val="32"/>
          <w:szCs w:val="32"/>
          <w:highlight w:val="none"/>
          <w:u w:val="none"/>
          <w:lang w:val="en" w:eastAsia="zh-CN"/>
        </w:rPr>
        <w:t>系统梳理我国人才服务体系建设历史沿革、成功经验和现状，以及当前人才服务体系建设典型做法、存在的突出问题，从国家总体、部门、行业、地方等层面总结提炼政策、项目、平台、内容、标准、流程，研究提出为支持国家全面创新、完善和加强国家人才服务体系建设的总体思路和对策。</w:t>
      </w:r>
    </w:p>
    <w:p w14:paraId="6F7716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w:t>
      </w:r>
      <w:r>
        <w:rPr>
          <w:rFonts w:hint="default" w:ascii="宋体" w:hAnsi="宋体" w:eastAsia="楷体" w:cs="楷体"/>
          <w:sz w:val="32"/>
          <w:highlight w:val="none"/>
          <w:lang w:val="en-US" w:eastAsia="zh-CN"/>
        </w:rPr>
        <w:t>外国人来华工作劳动法律问题研究</w:t>
      </w:r>
    </w:p>
    <w:p w14:paraId="009E1A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b w:val="0"/>
          <w:bCs w:val="0"/>
          <w:color w:val="auto"/>
          <w:sz w:val="32"/>
          <w:szCs w:val="32"/>
          <w:highlight w:val="none"/>
          <w:u w:val="none"/>
          <w:lang w:val="en"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美国等发达国家建立健全外国人劳动法律关系的举措，分析外国人来华工作适用我国劳动法律体系存在的主要问题，提炼外国人来华工作劳动关系的政策依据、理论依据和前期实践，研究提出规范我国外国人来华工作劳动管理的具体举措和意见建议。</w:t>
      </w:r>
    </w:p>
    <w:p w14:paraId="26353B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（十一）新形势下劳动关系理论探索研究</w:t>
      </w:r>
    </w:p>
    <w:p w14:paraId="655AB2F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宋体" w:hAnsi="宋体" w:eastAsia="仿宋_GB2312" w:cs="仿宋_GB2312"/>
          <w:b w:val="0"/>
          <w:bCs w:val="0"/>
          <w:color w:val="auto"/>
          <w:kern w:val="2"/>
          <w:sz w:val="32"/>
          <w:szCs w:val="32"/>
          <w:highlight w:val="none"/>
          <w:u w:val="none"/>
          <w:lang w:val="en-US" w:eastAsia="zh-CN" w:bidi="ar-SA"/>
        </w:rPr>
      </w:pPr>
      <w:r>
        <w:rPr>
          <w:rFonts w:hint="eastAsia" w:ascii="宋体" w:hAnsi="宋体" w:eastAsia="仿宋_GB2312" w:cs="仿宋_GB2312"/>
          <w:b w:val="0"/>
          <w:bCs w:val="0"/>
          <w:color w:val="auto"/>
          <w:kern w:val="2"/>
          <w:sz w:val="32"/>
          <w:szCs w:val="32"/>
          <w:highlight w:val="none"/>
          <w:u w:val="none"/>
          <w:lang w:val="en-US" w:eastAsia="zh-CN" w:bidi="ar-SA"/>
        </w:rPr>
        <w:t>主要研究内容：全面梳理建国以来我国劳动关系规制思路、政策调整、治理理念的变化发展，深入分析信息化时代对劳动关系的影响，包括数字经济渗透劳动关系领域的表现以及对就业形式、用工灵活化等方面的影响，研究总结劳动关系出现的灵活化等新特点和新趋势，探索提出新形势下劳动关系政策制度建设的理论观点和基本思路。</w:t>
      </w:r>
    </w:p>
    <w:p w14:paraId="3B84CD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（十二）</w:t>
      </w:r>
      <w:r>
        <w:rPr>
          <w:rFonts w:hint="default" w:ascii="宋体" w:hAnsi="宋体" w:eastAsia="楷体" w:cs="楷体"/>
          <w:sz w:val="32"/>
          <w:highlight w:val="none"/>
          <w:lang w:val="en-US" w:eastAsia="zh-CN"/>
        </w:rPr>
        <w:t>完善劳动关系协商协调机制</w:t>
      </w:r>
      <w:r>
        <w:rPr>
          <w:rFonts w:hint="eastAsia" w:ascii="宋体" w:hAnsi="宋体" w:eastAsia="楷体" w:cs="楷体"/>
          <w:sz w:val="32"/>
          <w:highlight w:val="none"/>
          <w:lang w:val="en-US" w:eastAsia="zh-CN"/>
        </w:rPr>
        <w:t>研究</w:t>
      </w:r>
    </w:p>
    <w:p w14:paraId="06DB77A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仿宋"/>
          <w:sz w:val="32"/>
          <w:szCs w:val="32"/>
          <w:highlight w:val="none"/>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梳理</w:t>
      </w:r>
      <w:r>
        <w:rPr>
          <w:rFonts w:hint="default" w:ascii="宋体" w:hAnsi="宋体" w:eastAsia="仿宋_GB2312" w:cs="仿宋"/>
          <w:sz w:val="32"/>
          <w:szCs w:val="32"/>
          <w:highlight w:val="none"/>
        </w:rPr>
        <w:t>中国劳动关系</w:t>
      </w:r>
      <w:r>
        <w:rPr>
          <w:rFonts w:hint="eastAsia" w:ascii="宋体" w:hAnsi="宋体" w:eastAsia="仿宋_GB2312" w:cs="仿宋"/>
          <w:sz w:val="32"/>
          <w:szCs w:val="32"/>
          <w:highlight w:val="none"/>
          <w:lang w:eastAsia="zh-CN"/>
        </w:rPr>
        <w:t>协商</w:t>
      </w:r>
      <w:r>
        <w:rPr>
          <w:rFonts w:hint="default" w:ascii="宋体" w:hAnsi="宋体" w:eastAsia="仿宋_GB2312" w:cs="仿宋"/>
          <w:sz w:val="32"/>
          <w:szCs w:val="32"/>
          <w:highlight w:val="none"/>
        </w:rPr>
        <w:t>协调机制的发展历程和具体内容</w:t>
      </w:r>
      <w:r>
        <w:rPr>
          <w:rFonts w:hint="eastAsia" w:ascii="宋体" w:hAnsi="宋体" w:eastAsia="仿宋_GB2312" w:cs="仿宋"/>
          <w:sz w:val="32"/>
          <w:szCs w:val="32"/>
          <w:highlight w:val="none"/>
          <w:lang w:eastAsia="zh-CN"/>
        </w:rPr>
        <w:t>，开展</w:t>
      </w:r>
      <w:r>
        <w:rPr>
          <w:rFonts w:hint="default" w:ascii="宋体" w:hAnsi="宋体" w:eastAsia="仿宋_GB2312" w:cs="仿宋"/>
          <w:sz w:val="32"/>
          <w:szCs w:val="32"/>
          <w:highlight w:val="none"/>
        </w:rPr>
        <w:t>中外劳动关系协商协调机制比较研究</w:t>
      </w:r>
      <w:r>
        <w:rPr>
          <w:rFonts w:hint="eastAsia" w:ascii="宋体" w:hAnsi="宋体" w:eastAsia="仿宋_GB2312" w:cs="仿宋"/>
          <w:sz w:val="32"/>
          <w:szCs w:val="32"/>
          <w:highlight w:val="none"/>
          <w:lang w:eastAsia="zh-CN"/>
        </w:rPr>
        <w:t>，分析</w:t>
      </w:r>
      <w:r>
        <w:rPr>
          <w:rFonts w:hint="default" w:ascii="宋体" w:hAnsi="宋体" w:eastAsia="仿宋_GB2312" w:cs="仿宋"/>
          <w:sz w:val="32"/>
          <w:szCs w:val="32"/>
          <w:highlight w:val="none"/>
        </w:rPr>
        <w:t>当前中国劳动关系协商协调机制面临的不足和突出问题</w:t>
      </w:r>
      <w:r>
        <w:rPr>
          <w:rFonts w:hint="eastAsia" w:ascii="宋体" w:hAnsi="宋体" w:eastAsia="仿宋_GB2312" w:cs="仿宋"/>
          <w:sz w:val="32"/>
          <w:szCs w:val="32"/>
          <w:highlight w:val="none"/>
          <w:lang w:eastAsia="zh-CN"/>
        </w:rPr>
        <w:t>，科学界定</w:t>
      </w:r>
      <w:r>
        <w:rPr>
          <w:rFonts w:hint="default" w:ascii="宋体" w:hAnsi="宋体" w:eastAsia="仿宋_GB2312" w:cs="仿宋"/>
          <w:sz w:val="32"/>
          <w:szCs w:val="32"/>
          <w:highlight w:val="none"/>
        </w:rPr>
        <w:t>新时代劳动关系协商协调机制的内涵和外延，</w:t>
      </w:r>
      <w:r>
        <w:rPr>
          <w:rFonts w:hint="eastAsia" w:ascii="宋体" w:hAnsi="宋体" w:eastAsia="仿宋_GB2312" w:cs="仿宋"/>
          <w:sz w:val="32"/>
          <w:szCs w:val="32"/>
          <w:highlight w:val="none"/>
          <w:lang w:eastAsia="zh-CN"/>
        </w:rPr>
        <w:t>提出</w:t>
      </w:r>
      <w:r>
        <w:rPr>
          <w:rFonts w:hint="default" w:ascii="宋体" w:hAnsi="宋体" w:eastAsia="仿宋_GB2312" w:cs="仿宋"/>
          <w:sz w:val="32"/>
          <w:szCs w:val="32"/>
          <w:highlight w:val="none"/>
        </w:rPr>
        <w:t>完善劳动关系协商协调机制的基本思路和有效路径。</w:t>
      </w:r>
    </w:p>
    <w:p w14:paraId="4040AA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（十三）</w:t>
      </w:r>
      <w:r>
        <w:rPr>
          <w:rFonts w:hint="default" w:ascii="宋体" w:hAnsi="宋体" w:eastAsia="楷体" w:cs="楷体"/>
          <w:sz w:val="32"/>
          <w:highlight w:val="none"/>
          <w:lang w:val="en-US" w:eastAsia="zh-CN"/>
        </w:rPr>
        <w:t>灵活就业和新就业形态劳动者权益保障</w:t>
      </w:r>
      <w:r>
        <w:rPr>
          <w:rFonts w:hint="eastAsia" w:ascii="宋体" w:hAnsi="宋体" w:eastAsia="楷体" w:cs="楷体"/>
          <w:sz w:val="32"/>
          <w:highlight w:val="none"/>
          <w:lang w:val="en-US" w:eastAsia="zh-CN"/>
        </w:rPr>
        <w:t>法律制度</w:t>
      </w:r>
      <w:r>
        <w:rPr>
          <w:rFonts w:hint="default" w:ascii="宋体" w:hAnsi="宋体" w:eastAsia="楷体" w:cs="楷体"/>
          <w:sz w:val="32"/>
          <w:highlight w:val="none"/>
          <w:lang w:val="en-US" w:eastAsia="zh-CN"/>
        </w:rPr>
        <w:t>研究</w:t>
      </w:r>
    </w:p>
    <w:p w14:paraId="02C62A71">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default" w:ascii="宋体" w:hAnsi="宋体" w:eastAsia="仿宋_GB2312" w:cs="仿宋_GB2312"/>
          <w:sz w:val="32"/>
          <w:szCs w:val="32"/>
          <w:highlight w:val="none"/>
        </w:rPr>
        <w:t>全面评估现行</w:t>
      </w:r>
      <w:r>
        <w:rPr>
          <w:rFonts w:hint="eastAsia" w:ascii="宋体" w:hAnsi="宋体" w:eastAsia="仿宋_GB2312" w:cs="仿宋_GB2312"/>
          <w:sz w:val="32"/>
          <w:szCs w:val="32"/>
          <w:highlight w:val="none"/>
          <w:lang w:eastAsia="zh-CN"/>
        </w:rPr>
        <w:t>灵活就业和</w:t>
      </w:r>
      <w:r>
        <w:rPr>
          <w:rFonts w:hint="default" w:ascii="宋体" w:hAnsi="宋体" w:eastAsia="仿宋_GB2312" w:cs="仿宋_GB2312"/>
          <w:sz w:val="32"/>
          <w:szCs w:val="32"/>
          <w:highlight w:val="none"/>
        </w:rPr>
        <w:t>新就业形态劳动者权益保障政策实施效果</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总结提炼地方和企业维护灵活就业和新就业形态劳动者权益的经验做法</w:t>
      </w:r>
      <w:r>
        <w:rPr>
          <w:rFonts w:hint="eastAsia" w:ascii="宋体" w:hAnsi="宋体" w:eastAsia="仿宋_GB2312" w:cs="仿宋_GB2312"/>
          <w:sz w:val="32"/>
          <w:szCs w:val="32"/>
          <w:highlight w:val="none"/>
          <w:lang w:eastAsia="zh-CN"/>
        </w:rPr>
        <w:t>，并通过</w:t>
      </w:r>
      <w:r>
        <w:rPr>
          <w:rFonts w:hint="default" w:ascii="宋体" w:hAnsi="宋体" w:eastAsia="仿宋_GB2312" w:cs="仿宋_GB2312"/>
          <w:sz w:val="32"/>
          <w:szCs w:val="32"/>
          <w:highlight w:val="none"/>
        </w:rPr>
        <w:t>开展国际比较研究</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对完善我国法律法规制度提出具体意见建议。</w:t>
      </w:r>
      <w:r>
        <w:rPr>
          <w:rFonts w:hint="eastAsia" w:ascii="宋体" w:hAnsi="宋体" w:eastAsia="黑体" w:cs="黑体"/>
          <w:sz w:val="32"/>
          <w:szCs w:val="32"/>
          <w:highlight w:val="none"/>
          <w:lang w:val="en-US" w:eastAsia="zh-CN"/>
        </w:rPr>
        <w:t xml:space="preserve"> </w:t>
      </w:r>
    </w:p>
    <w:p w14:paraId="30C9AB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（十四）创新企业工资分配宏观指导方式方法研究</w:t>
      </w:r>
    </w:p>
    <w:p w14:paraId="608980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分析评估我国企业工资分配宏观指导政策实施效果，梳理</w:t>
      </w:r>
      <w:r>
        <w:rPr>
          <w:rFonts w:hint="default" w:ascii="宋体" w:hAnsi="宋体" w:eastAsia="仿宋_GB2312" w:cs="Times New Roman"/>
          <w:b w:val="0"/>
          <w:bCs w:val="0"/>
          <w:i w:val="0"/>
          <w:caps w:val="0"/>
          <w:color w:val="auto"/>
          <w:spacing w:val="0"/>
          <w:kern w:val="0"/>
          <w:sz w:val="32"/>
          <w:szCs w:val="32"/>
          <w:highlight w:val="none"/>
          <w:shd w:val="clear" w:color="auto" w:fill="FFFFFF"/>
          <w:lang w:eastAsia="zh-CN" w:bidi="ar"/>
        </w:rPr>
        <w:t>分析国外</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有关政策做法及对我国的启示，探索</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方法</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新路径</w:t>
      </w:r>
      <w:r>
        <w:rPr>
          <w:rFonts w:hint="eastAsia" w:ascii="宋体" w:hAnsi="宋体" w:eastAsia="仿宋_GB2312" w:cs="Times New Roman"/>
          <w:i w:val="0"/>
          <w:caps w:val="0"/>
          <w:color w:val="auto"/>
          <w:spacing w:val="0"/>
          <w:kern w:val="0"/>
          <w:sz w:val="32"/>
          <w:szCs w:val="32"/>
          <w:highlight w:val="none"/>
          <w:shd w:val="clear" w:color="auto" w:fill="FFFFFF"/>
          <w:lang w:eastAsia="zh-CN" w:bidi="ar"/>
        </w:rPr>
        <w:t>，</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提出完善现有</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政策的思路建议。</w:t>
      </w:r>
    </w:p>
    <w:p w14:paraId="6F595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（十五）</w:t>
      </w:r>
      <w:r>
        <w:rPr>
          <w:rFonts w:hint="default" w:ascii="宋体" w:hAnsi="宋体" w:eastAsia="楷体" w:cs="楷体"/>
          <w:sz w:val="32"/>
          <w:highlight w:val="none"/>
          <w:lang w:val="en-US" w:eastAsia="zh-CN"/>
        </w:rPr>
        <w:t>深化高校、科研院所收入分配改革</w:t>
      </w:r>
      <w:r>
        <w:rPr>
          <w:rFonts w:hint="eastAsia" w:ascii="宋体" w:hAnsi="宋体" w:eastAsia="楷体" w:cs="楷体"/>
          <w:sz w:val="32"/>
          <w:highlight w:val="none"/>
          <w:lang w:val="en-US" w:eastAsia="zh-CN"/>
        </w:rPr>
        <w:t>研究</w:t>
      </w:r>
    </w:p>
    <w:p w14:paraId="10288414">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eastAsia" w:ascii="宋体" w:hAnsi="宋体" w:eastAsia="仿宋_GB2312" w:cs="仿宋_GB2312"/>
          <w:color w:val="auto"/>
          <w:sz w:val="32"/>
          <w:szCs w:val="32"/>
          <w:highlight w:val="none"/>
          <w:lang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主要研究内容：重点</w:t>
      </w:r>
      <w:r>
        <w:rPr>
          <w:rFonts w:hint="default" w:ascii="宋体" w:hAnsi="宋体" w:eastAsia="仿宋_GB2312" w:cs="仿宋_GB2312"/>
          <w:color w:val="auto"/>
          <w:sz w:val="32"/>
          <w:szCs w:val="32"/>
          <w:highlight w:val="none"/>
        </w:rPr>
        <w:t>研究深化高校</w:t>
      </w:r>
      <w:r>
        <w:rPr>
          <w:rFonts w:hint="eastAsia" w:ascii="宋体" w:hAnsi="宋体" w:eastAsia="仿宋_GB2312" w:cs="仿宋_GB2312"/>
          <w:color w:val="auto"/>
          <w:sz w:val="32"/>
          <w:szCs w:val="32"/>
          <w:highlight w:val="none"/>
          <w:lang w:eastAsia="zh-CN"/>
        </w:rPr>
        <w:t>、</w:t>
      </w:r>
      <w:r>
        <w:rPr>
          <w:rFonts w:hint="default" w:ascii="宋体" w:hAnsi="宋体" w:eastAsia="仿宋_GB2312" w:cs="仿宋_GB2312"/>
          <w:color w:val="auto"/>
          <w:sz w:val="32"/>
          <w:szCs w:val="32"/>
          <w:highlight w:val="none"/>
        </w:rPr>
        <w:t>科研院所收入分配改革的方向和着力点、高校与科研院所对深化改革的不同需求、</w:t>
      </w:r>
      <w:r>
        <w:rPr>
          <w:rFonts w:hint="eastAsia" w:ascii="宋体" w:hAnsi="宋体" w:eastAsia="仿宋_GB2312" w:cs="仿宋_GB2312"/>
          <w:color w:val="auto"/>
          <w:sz w:val="32"/>
          <w:szCs w:val="32"/>
          <w:highlight w:val="none"/>
          <w:lang w:eastAsia="zh-CN"/>
        </w:rPr>
        <w:t>薪酬制度改革</w:t>
      </w:r>
      <w:r>
        <w:rPr>
          <w:rFonts w:hint="default" w:ascii="宋体" w:hAnsi="宋体" w:eastAsia="仿宋_GB2312" w:cs="仿宋_GB2312"/>
          <w:color w:val="auto"/>
          <w:sz w:val="32"/>
          <w:szCs w:val="32"/>
          <w:highlight w:val="none"/>
        </w:rPr>
        <w:t>试点工作与教育科技人才体制机制改革一体推进等问题</w:t>
      </w:r>
      <w:r>
        <w:rPr>
          <w:rFonts w:hint="eastAsia" w:ascii="宋体" w:hAnsi="宋体" w:eastAsia="仿宋_GB2312" w:cs="仿宋_GB2312"/>
          <w:color w:val="auto"/>
          <w:sz w:val="32"/>
          <w:szCs w:val="32"/>
          <w:highlight w:val="none"/>
          <w:lang w:eastAsia="zh-CN"/>
        </w:rPr>
        <w:t>，提出深化高校、科研院所收入分配改革的政策建议。</w:t>
      </w:r>
    </w:p>
    <w:p w14:paraId="5C066688">
      <w:pPr>
        <w:pStyle w:val="3"/>
        <w:rPr>
          <w:rFonts w:hint="default"/>
          <w:lang w:val="en-US" w:eastAsia="zh-CN"/>
        </w:rPr>
      </w:pPr>
    </w:p>
    <w:p w14:paraId="23E4D8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黑体" w:cs="黑体"/>
          <w:b/>
          <w:bCs/>
          <w:sz w:val="32"/>
          <w:szCs w:val="32"/>
          <w:highlight w:val="none"/>
          <w:u w:val="single"/>
          <w:lang w:val="en-US" w:eastAsia="zh-CN"/>
        </w:rPr>
      </w:pPr>
      <w:bookmarkStart w:id="0" w:name="_GoBack"/>
      <w:r>
        <w:rPr>
          <w:rFonts w:hint="eastAsia" w:ascii="宋体" w:hAnsi="宋体" w:eastAsia="仿宋_GB2312" w:cs="仿宋_GB2312"/>
          <w:b/>
          <w:bCs/>
          <w:sz w:val="32"/>
          <w:szCs w:val="32"/>
          <w:highlight w:val="none"/>
          <w:u w:val="single"/>
          <w:lang w:val="en-US" w:eastAsia="zh-CN"/>
        </w:rPr>
        <w:t>“</w:t>
      </w:r>
      <w:r>
        <w:rPr>
          <w:rFonts w:hint="default" w:ascii="宋体" w:hAnsi="宋体" w:eastAsia="仿宋_GB2312" w:cs="仿宋_GB2312"/>
          <w:b/>
          <w:bCs/>
          <w:sz w:val="32"/>
          <w:szCs w:val="32"/>
          <w:highlight w:val="none"/>
          <w:u w:val="single"/>
          <w:lang w:val="en-US" w:eastAsia="zh-CN"/>
        </w:rPr>
        <w:t>深化高校、科研院所收入分配改革</w:t>
      </w:r>
      <w:r>
        <w:rPr>
          <w:rFonts w:hint="eastAsia" w:ascii="宋体" w:hAnsi="宋体" w:eastAsia="仿宋_GB2312" w:cs="仿宋_GB2312"/>
          <w:b/>
          <w:bCs/>
          <w:sz w:val="32"/>
          <w:szCs w:val="32"/>
          <w:highlight w:val="none"/>
          <w:u w:val="single"/>
          <w:lang w:val="en-US" w:eastAsia="zh-CN"/>
        </w:rPr>
        <w:t>研究”课题需在2026年12月底前完成，其余课题计划完成时间均为2025年12月底前</w:t>
      </w:r>
    </w:p>
    <w:bookmarkEnd w:i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23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26570">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2A265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TQ3ZDMxMTc0MGE3Mjc2ZjYzMjYyODcwZTAwMTAifQ=="/>
  </w:docVars>
  <w:rsids>
    <w:rsidRoot w:val="533C5857"/>
    <w:rsid w:val="057600E5"/>
    <w:rsid w:val="07EA70C4"/>
    <w:rsid w:val="0DCC7679"/>
    <w:rsid w:val="1B97024D"/>
    <w:rsid w:val="1E7672D4"/>
    <w:rsid w:val="1F75D676"/>
    <w:rsid w:val="1FB7E3DE"/>
    <w:rsid w:val="1FDF13AD"/>
    <w:rsid w:val="22EB7312"/>
    <w:rsid w:val="276BBB2D"/>
    <w:rsid w:val="2CEFD0C1"/>
    <w:rsid w:val="2F9F915A"/>
    <w:rsid w:val="2FBD7453"/>
    <w:rsid w:val="2FFB483D"/>
    <w:rsid w:val="34517AE6"/>
    <w:rsid w:val="34620179"/>
    <w:rsid w:val="35DEC63E"/>
    <w:rsid w:val="37FA086A"/>
    <w:rsid w:val="38FE3FF5"/>
    <w:rsid w:val="3B5F8385"/>
    <w:rsid w:val="3D5D4B11"/>
    <w:rsid w:val="3D772A30"/>
    <w:rsid w:val="3FBE6050"/>
    <w:rsid w:val="4AF62333"/>
    <w:rsid w:val="4F263E0C"/>
    <w:rsid w:val="4F2B4499"/>
    <w:rsid w:val="4F77356E"/>
    <w:rsid w:val="4FAC4115"/>
    <w:rsid w:val="552B8A32"/>
    <w:rsid w:val="55391545"/>
    <w:rsid w:val="55DF8E59"/>
    <w:rsid w:val="55FF78AB"/>
    <w:rsid w:val="56F35389"/>
    <w:rsid w:val="56FF9FF4"/>
    <w:rsid w:val="571DA1D4"/>
    <w:rsid w:val="579D4C0A"/>
    <w:rsid w:val="57AED1FD"/>
    <w:rsid w:val="57FAE21A"/>
    <w:rsid w:val="5B2F1E2A"/>
    <w:rsid w:val="5BCE8790"/>
    <w:rsid w:val="5BF7A945"/>
    <w:rsid w:val="5DFEEAAD"/>
    <w:rsid w:val="5ECFC8D4"/>
    <w:rsid w:val="5EF6C032"/>
    <w:rsid w:val="5F2F298B"/>
    <w:rsid w:val="5F9F9097"/>
    <w:rsid w:val="5FAA3805"/>
    <w:rsid w:val="5FCBD4A5"/>
    <w:rsid w:val="5FF7412D"/>
    <w:rsid w:val="5FFFE92D"/>
    <w:rsid w:val="62EBC77E"/>
    <w:rsid w:val="637B8D7C"/>
    <w:rsid w:val="65DF571C"/>
    <w:rsid w:val="677516A0"/>
    <w:rsid w:val="67FB0C8E"/>
    <w:rsid w:val="6A7B95F3"/>
    <w:rsid w:val="6AAF5ABA"/>
    <w:rsid w:val="6AFFD132"/>
    <w:rsid w:val="6BEE1F1B"/>
    <w:rsid w:val="6CB7B8F0"/>
    <w:rsid w:val="6DB57426"/>
    <w:rsid w:val="6F2DF126"/>
    <w:rsid w:val="6F7F941D"/>
    <w:rsid w:val="6F7FBFE0"/>
    <w:rsid w:val="6FBE2B19"/>
    <w:rsid w:val="6FCF6995"/>
    <w:rsid w:val="6FDF3291"/>
    <w:rsid w:val="6FF52093"/>
    <w:rsid w:val="6FFBA32C"/>
    <w:rsid w:val="71670538"/>
    <w:rsid w:val="73F72A63"/>
    <w:rsid w:val="747420CC"/>
    <w:rsid w:val="7593CD7F"/>
    <w:rsid w:val="75FD889D"/>
    <w:rsid w:val="75FEB337"/>
    <w:rsid w:val="763EDBA1"/>
    <w:rsid w:val="77AE9664"/>
    <w:rsid w:val="77F9EE2A"/>
    <w:rsid w:val="77FB8A55"/>
    <w:rsid w:val="77FE0B53"/>
    <w:rsid w:val="77FEA03B"/>
    <w:rsid w:val="77FFC178"/>
    <w:rsid w:val="795816BE"/>
    <w:rsid w:val="79CA6BC8"/>
    <w:rsid w:val="7A2771FE"/>
    <w:rsid w:val="7ADDCB72"/>
    <w:rsid w:val="7AFB876C"/>
    <w:rsid w:val="7B5D8295"/>
    <w:rsid w:val="7BBACE04"/>
    <w:rsid w:val="7BBD4F09"/>
    <w:rsid w:val="7BBEFC79"/>
    <w:rsid w:val="7BEC475A"/>
    <w:rsid w:val="7BF783C1"/>
    <w:rsid w:val="7BFE97B2"/>
    <w:rsid w:val="7C7FADA0"/>
    <w:rsid w:val="7CDBAE95"/>
    <w:rsid w:val="7CEE3ADD"/>
    <w:rsid w:val="7D6BFA28"/>
    <w:rsid w:val="7D7F8EA7"/>
    <w:rsid w:val="7DEFC68D"/>
    <w:rsid w:val="7DF50A36"/>
    <w:rsid w:val="7DFB7122"/>
    <w:rsid w:val="7DFECD24"/>
    <w:rsid w:val="7E739C7C"/>
    <w:rsid w:val="7E7B87FA"/>
    <w:rsid w:val="7E7F103A"/>
    <w:rsid w:val="7EDFDB73"/>
    <w:rsid w:val="7EEFC8E4"/>
    <w:rsid w:val="7EFD3A14"/>
    <w:rsid w:val="7F175CD7"/>
    <w:rsid w:val="7F379A38"/>
    <w:rsid w:val="7F77B0BE"/>
    <w:rsid w:val="7F7F0315"/>
    <w:rsid w:val="7F7FBF1F"/>
    <w:rsid w:val="7F8D9DCE"/>
    <w:rsid w:val="7FD77366"/>
    <w:rsid w:val="7FD7CF82"/>
    <w:rsid w:val="7FD9F43F"/>
    <w:rsid w:val="7FDFD93F"/>
    <w:rsid w:val="7FE7074E"/>
    <w:rsid w:val="7FED95D7"/>
    <w:rsid w:val="7FF261D9"/>
    <w:rsid w:val="7FF5DB4E"/>
    <w:rsid w:val="7FF794AD"/>
    <w:rsid w:val="7FFAF93A"/>
    <w:rsid w:val="7FFC491A"/>
    <w:rsid w:val="7FFEE4DD"/>
    <w:rsid w:val="7FFF5BBC"/>
    <w:rsid w:val="7FFF62D5"/>
    <w:rsid w:val="81FE7CE6"/>
    <w:rsid w:val="97B38972"/>
    <w:rsid w:val="9FB1F3C5"/>
    <w:rsid w:val="9FFD39C3"/>
    <w:rsid w:val="9FFF1F41"/>
    <w:rsid w:val="A27FC6CF"/>
    <w:rsid w:val="A7DF1EF1"/>
    <w:rsid w:val="ABBCC86D"/>
    <w:rsid w:val="AEFB4506"/>
    <w:rsid w:val="B3BD7776"/>
    <w:rsid w:val="B5EFFCD0"/>
    <w:rsid w:val="B61F5A6B"/>
    <w:rsid w:val="B7EDE07A"/>
    <w:rsid w:val="B9FFE0C5"/>
    <w:rsid w:val="BA7F6EED"/>
    <w:rsid w:val="BBA7D882"/>
    <w:rsid w:val="BBBDFF4D"/>
    <w:rsid w:val="BBDC4B72"/>
    <w:rsid w:val="BBFF3B3E"/>
    <w:rsid w:val="BDBD70BE"/>
    <w:rsid w:val="BDBE24D3"/>
    <w:rsid w:val="BED9888F"/>
    <w:rsid w:val="BF7D8330"/>
    <w:rsid w:val="BF7D9B5E"/>
    <w:rsid w:val="BFEF5797"/>
    <w:rsid w:val="BFF524CB"/>
    <w:rsid w:val="BFFD2B56"/>
    <w:rsid w:val="BFFF78C9"/>
    <w:rsid w:val="C6DB1D01"/>
    <w:rsid w:val="C73F32DC"/>
    <w:rsid w:val="C77FDD2D"/>
    <w:rsid w:val="CB0EAAF4"/>
    <w:rsid w:val="CD7FFE00"/>
    <w:rsid w:val="D27F06C6"/>
    <w:rsid w:val="D2CADA2C"/>
    <w:rsid w:val="D4AB4BDC"/>
    <w:rsid w:val="D5FFE6A4"/>
    <w:rsid w:val="D777F279"/>
    <w:rsid w:val="D7D7A0DB"/>
    <w:rsid w:val="D7FA6FC7"/>
    <w:rsid w:val="DBFCC98D"/>
    <w:rsid w:val="DE4D0063"/>
    <w:rsid w:val="DF4F92A2"/>
    <w:rsid w:val="DF77854B"/>
    <w:rsid w:val="DFDF6D60"/>
    <w:rsid w:val="DFEF1DB2"/>
    <w:rsid w:val="DFF56D10"/>
    <w:rsid w:val="DFFE188A"/>
    <w:rsid w:val="E2B8FF8E"/>
    <w:rsid w:val="E3FF46D6"/>
    <w:rsid w:val="E56FFD98"/>
    <w:rsid w:val="E5F5F858"/>
    <w:rsid w:val="E7C5901B"/>
    <w:rsid w:val="E9EB789D"/>
    <w:rsid w:val="EAE7DF13"/>
    <w:rsid w:val="EAFA3B77"/>
    <w:rsid w:val="EAFBD562"/>
    <w:rsid w:val="EBEE4F88"/>
    <w:rsid w:val="EF1D9095"/>
    <w:rsid w:val="EF8704AD"/>
    <w:rsid w:val="EFEFBAC6"/>
    <w:rsid w:val="F26F5B41"/>
    <w:rsid w:val="F3A8860D"/>
    <w:rsid w:val="F3FDD8C7"/>
    <w:rsid w:val="F4DFFED0"/>
    <w:rsid w:val="F77BCEBA"/>
    <w:rsid w:val="F79EE407"/>
    <w:rsid w:val="F7EF9F2B"/>
    <w:rsid w:val="F7F3BBEE"/>
    <w:rsid w:val="F7F76923"/>
    <w:rsid w:val="F7FE61BA"/>
    <w:rsid w:val="F92AFF6B"/>
    <w:rsid w:val="FB699A23"/>
    <w:rsid w:val="FB7BDB9A"/>
    <w:rsid w:val="FBCE0A8B"/>
    <w:rsid w:val="FBD559C7"/>
    <w:rsid w:val="FBDB5E93"/>
    <w:rsid w:val="FBF3F661"/>
    <w:rsid w:val="FBF7B9D6"/>
    <w:rsid w:val="FBFFB92C"/>
    <w:rsid w:val="FCFD156A"/>
    <w:rsid w:val="FDAF3AF1"/>
    <w:rsid w:val="FDEEB789"/>
    <w:rsid w:val="FE77C5EF"/>
    <w:rsid w:val="FE9F78F3"/>
    <w:rsid w:val="FEC16031"/>
    <w:rsid w:val="FED79B1C"/>
    <w:rsid w:val="FEFB89BD"/>
    <w:rsid w:val="FF3FC252"/>
    <w:rsid w:val="FF5F5A75"/>
    <w:rsid w:val="FF772464"/>
    <w:rsid w:val="FF7EADCB"/>
    <w:rsid w:val="FF9BE614"/>
    <w:rsid w:val="FFA7D454"/>
    <w:rsid w:val="FFBBC8C7"/>
    <w:rsid w:val="FFC4C976"/>
    <w:rsid w:val="FFD86AB9"/>
    <w:rsid w:val="FFEF3579"/>
    <w:rsid w:val="FFFBA8FA"/>
    <w:rsid w:val="FFFE07CA"/>
    <w:rsid w:val="FFFF44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afterLines="0"/>
    </w:p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2312</Words>
  <Characters>2323</Characters>
  <Lines>0</Lines>
  <Paragraphs>0</Paragraphs>
  <TotalTime>0</TotalTime>
  <ScaleCrop>false</ScaleCrop>
  <LinksUpToDate>false</LinksUpToDate>
  <CharactersWithSpaces>2328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2024-04-04T09:49:00Z</dcterms:created>
  <dc:creator>yuanyz</dc:creator>
  <cp:lastModifiedBy>生</cp:lastModifiedBy>
  <cp:lastPrinted>2025-02-12T17:11:00Z</cp:lastPrinted>
  <dcterms:modified xsi:type="dcterms:W3CDTF">2025-02-27T01:35:25Z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BCC86B7925D74E5CB40373654C158979_12</vt:lpwstr>
  </property>
  <property fmtid="{D5CDD505-2E9C-101B-9397-08002B2CF9AE}" pid="4" name="KSOTemplateDocerSaveRecord">
    <vt:lpwstr>eyJoZGlkIjoiN2YyNTdlNzBiZGRjYmZlMGY3ODUzZmFhMzYwYmQ3ZWYiLCJ1c2VySWQiOiIyNDM4OTgwNzQifQ==</vt:lpwstr>
  </property>
</Properties>
</file>